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w:body>
    <w:p w:rsidR="004E0757" w:rsidRPr="00220D32" w:rsidRDefault="004E0757" w:rsidP="004E0757">
      <w:pPr>
        <w:spacing w:before="100" w:beforeAutospacing="1" w:after="120" w:line="360" w:lineRule="auto"/>
        <w:ind w:left="1152" w:right="1152"/>
        <w:jc w:val="center"/>
        <w:rPr>
          <w:rFonts w:ascii="Monotype Corsiva" w:eastAsia="Arial Unicode MS" w:hAnsi="Monotype Corsiva" w:cs="Arial Unicode MS"/>
          <w:b/>
          <w:bCs/>
          <w:color w:val="1F497D" w:themeColor="text2"/>
          <w:sz w:val="32"/>
          <w:szCs w:val="28"/>
          <w:lang w:eastAsia="fr-FR"/>
        </w:rPr>
      </w:pPr>
      <w:bookmarkStart w:id="0" w:name="VI"/>
      <w:bookmarkEnd w:id="0"/>
      <w:r w:rsidRPr="00220D32">
        <w:rPr>
          <w:rFonts w:ascii="Monotype Corsiva" w:eastAsia="Arial Unicode MS" w:hAnsi="Monotype Corsiva" w:cs="Arial Unicode MS"/>
          <w:b/>
          <w:bCs/>
          <w:color w:val="1F497D" w:themeColor="text2"/>
          <w:sz w:val="32"/>
          <w:szCs w:val="28"/>
          <w:lang w:eastAsia="fr-FR"/>
        </w:rPr>
        <w:t>SAINT IRENEE DE LYON</w:t>
      </w:r>
    </w:p>
    <w:p w:rsidR="004E0757" w:rsidRPr="005B3684" w:rsidRDefault="004E0757" w:rsidP="004E0757">
      <w:pPr>
        <w:spacing w:before="100" w:beforeAutospacing="1" w:after="120" w:line="360" w:lineRule="auto"/>
        <w:ind w:left="1152" w:right="1152"/>
        <w:jc w:val="center"/>
        <w:rPr>
          <w:rFonts w:ascii="Monotype Corsiva" w:eastAsia="Arial Unicode MS" w:hAnsi="Monotype Corsiva" w:cs="Arial Unicode MS"/>
          <w:b/>
          <w:bCs/>
          <w:color w:val="1F497D" w:themeColor="text2"/>
          <w:sz w:val="32"/>
          <w:szCs w:val="32"/>
          <w:lang w:eastAsia="fr-FR"/>
        </w:rPr>
      </w:pPr>
      <w:r w:rsidRPr="005B3684">
        <w:rPr>
          <w:rFonts w:ascii="Monotype Corsiva" w:eastAsia="Arial Unicode MS" w:hAnsi="Monotype Corsiva" w:cs="Arial Unicode MS"/>
          <w:b/>
          <w:bCs/>
          <w:color w:val="1F497D" w:themeColor="text2"/>
          <w:sz w:val="32"/>
          <w:szCs w:val="32"/>
          <w:lang w:eastAsia="fr-FR"/>
        </w:rPr>
        <w:t xml:space="preserve">Fête le 28 juin </w:t>
      </w:r>
    </w:p>
    <w:p w:rsidR="00D411D1" w:rsidRPr="00220D32" w:rsidRDefault="00D411D1" w:rsidP="004E0757">
      <w:pPr>
        <w:spacing w:before="100" w:beforeAutospacing="1" w:after="120" w:line="360" w:lineRule="auto"/>
        <w:ind w:left="1152" w:right="1152"/>
        <w:jc w:val="center"/>
        <w:rPr>
          <w:rFonts w:ascii="Monotype Corsiva" w:eastAsia="Times New Roman" w:hAnsi="Monotype Corsiva" w:cs="Times New Roman"/>
          <w:b/>
          <w:color w:val="1F497D" w:themeColor="text2"/>
          <w:sz w:val="36"/>
          <w:szCs w:val="32"/>
          <w:lang w:eastAsia="fr-FR"/>
        </w:rPr>
      </w:pPr>
      <w:r w:rsidRPr="00220D32">
        <w:rPr>
          <w:rFonts w:ascii="Monotype Corsiva" w:eastAsia="Arial Unicode MS" w:hAnsi="Monotype Corsiva" w:cs="Arial Unicode MS"/>
          <w:b/>
          <w:bCs/>
          <w:color w:val="1F497D" w:themeColor="text2"/>
          <w:sz w:val="36"/>
          <w:szCs w:val="32"/>
          <w:lang w:eastAsia="fr-FR"/>
        </w:rPr>
        <w:t>Contre les Hérésies</w:t>
      </w:r>
    </w:p>
    <w:p w:rsidR="00154C2E" w:rsidRPr="00220D32" w:rsidRDefault="00D411D1" w:rsidP="004E0757">
      <w:pPr>
        <w:spacing w:before="100" w:beforeAutospacing="1" w:after="120" w:line="360" w:lineRule="auto"/>
        <w:ind w:left="1152" w:right="1152"/>
        <w:jc w:val="center"/>
        <w:rPr>
          <w:rFonts w:ascii="Monotype Corsiva" w:hAnsi="Monotype Corsiva"/>
          <w:b/>
          <w:bCs/>
          <w:color w:val="1F497D" w:themeColor="text2"/>
          <w:sz w:val="36"/>
          <w:szCs w:val="32"/>
        </w:rPr>
      </w:pPr>
      <w:r w:rsidRPr="00220D32">
        <w:rPr>
          <w:rFonts w:ascii="Monotype Corsiva" w:eastAsia="Arial Unicode MS" w:hAnsi="Monotype Corsiva" w:cs="Arial Unicode MS"/>
          <w:b/>
          <w:bCs/>
          <w:color w:val="1F497D" w:themeColor="text2"/>
          <w:sz w:val="36"/>
          <w:szCs w:val="32"/>
          <w:lang w:eastAsia="fr-FR"/>
        </w:rPr>
        <w:t>Livre III</w:t>
      </w:r>
    </w:p>
    <w:p w:rsidR="00154C2E" w:rsidRPr="004E0757" w:rsidRDefault="00154C2E" w:rsidP="004E0757">
      <w:pPr>
        <w:pStyle w:val="NormalWeb"/>
        <w:spacing w:line="360" w:lineRule="auto"/>
        <w:ind w:left="346" w:right="346" w:firstLine="346"/>
        <w:jc w:val="center"/>
        <w:rPr>
          <w:rFonts w:ascii="Monotype Corsiva" w:hAnsi="Monotype Corsiva"/>
          <w:b/>
          <w:color w:val="1F497D" w:themeColor="text2"/>
        </w:rPr>
      </w:pPr>
      <w:bookmarkStart w:id="1" w:name="V"/>
      <w:bookmarkEnd w:id="1"/>
      <w:r w:rsidRPr="004E0757">
        <w:rPr>
          <w:rFonts w:ascii="Monotype Corsiva" w:hAnsi="Monotype Corsiva"/>
          <w:b/>
          <w:bCs/>
          <w:color w:val="1F497D" w:themeColor="text2"/>
        </w:rPr>
        <w:t>DEUXIÈME PARTIE</w:t>
      </w:r>
    </w:p>
    <w:p w:rsidR="00154C2E" w:rsidRPr="004E0757" w:rsidRDefault="00154C2E" w:rsidP="004E0757">
      <w:pPr>
        <w:pStyle w:val="NormalWeb"/>
        <w:spacing w:line="360" w:lineRule="auto"/>
        <w:ind w:left="346" w:right="346" w:firstLine="346"/>
        <w:jc w:val="center"/>
        <w:rPr>
          <w:rFonts w:ascii="Monotype Corsiva" w:hAnsi="Monotype Corsiva"/>
          <w:b/>
          <w:bCs/>
          <w:color w:val="1F497D" w:themeColor="text2"/>
        </w:rPr>
      </w:pPr>
      <w:r w:rsidRPr="004E0757">
        <w:rPr>
          <w:rFonts w:ascii="Monotype Corsiva" w:hAnsi="Monotype Corsiva"/>
          <w:b/>
          <w:bCs/>
          <w:color w:val="1F497D" w:themeColor="text2"/>
        </w:rPr>
        <w:t>UN SEUL CHRIST, FILS DE DIEU DEVENU FILS DE L'HOMME POUR RÉCAPITULER EN LUI SA PROPRE CRÉATION</w:t>
      </w:r>
    </w:p>
    <w:p w:rsidR="00154C2E" w:rsidRPr="004E0757" w:rsidRDefault="00154C2E" w:rsidP="004E0757">
      <w:pPr>
        <w:pStyle w:val="NormalWeb"/>
        <w:spacing w:line="360" w:lineRule="auto"/>
        <w:ind w:left="346" w:right="346" w:firstLine="346"/>
        <w:jc w:val="center"/>
        <w:rPr>
          <w:rFonts w:ascii="Monotype Corsiva" w:hAnsi="Monotype Corsiva"/>
          <w:b/>
          <w:color w:val="1F497D" w:themeColor="text2"/>
        </w:rPr>
      </w:pPr>
      <w:r w:rsidRPr="004E0757">
        <w:rPr>
          <w:rFonts w:ascii="Monotype Corsiva" w:hAnsi="Monotype Corsiva"/>
          <w:b/>
          <w:bCs/>
          <w:color w:val="1F497D" w:themeColor="text2"/>
        </w:rPr>
        <w:t>2. JÉSUS N'EST PAS UN PUR HOMME, MAIS LE FILS DE DIEU INCARNÉ DANS LE SEIN DE LA VIERGE</w:t>
      </w:r>
    </w:p>
    <w:p w:rsidR="00775906" w:rsidRPr="005B3684" w:rsidRDefault="00775906" w:rsidP="004E0757">
      <w:pPr>
        <w:pStyle w:val="NormalWeb"/>
        <w:spacing w:line="360" w:lineRule="auto"/>
        <w:ind w:left="346" w:right="346" w:firstLine="346"/>
        <w:jc w:val="center"/>
        <w:rPr>
          <w:rFonts w:ascii="Monotype Corsiva" w:hAnsi="Monotype Corsiva"/>
          <w:b/>
          <w:color w:val="1F497D" w:themeColor="text2"/>
          <w:sz w:val="36"/>
          <w:szCs w:val="36"/>
        </w:rPr>
      </w:pPr>
      <w:r w:rsidRPr="005B3684">
        <w:rPr>
          <w:rFonts w:ascii="Monotype Corsiva" w:hAnsi="Monotype Corsiva"/>
          <w:b/>
          <w:color w:val="1F497D" w:themeColor="text2"/>
          <w:sz w:val="36"/>
          <w:szCs w:val="36"/>
        </w:rPr>
        <w:t>Le signe de Jonas</w:t>
      </w:r>
    </w:p>
    <w:p w:rsidR="00775906" w:rsidRPr="004E0757" w:rsidRDefault="00775906" w:rsidP="004E0757">
      <w:pPr>
        <w:pStyle w:val="NormalWeb"/>
        <w:ind w:left="346" w:right="346" w:firstLine="346"/>
        <w:jc w:val="center"/>
        <w:rPr>
          <w:rFonts w:ascii="Monotype Corsiva" w:hAnsi="Monotype Corsiva"/>
          <w:b/>
          <w:color w:val="1F497D" w:themeColor="text2"/>
          <w:sz w:val="32"/>
          <w:szCs w:val="32"/>
        </w:rPr>
      </w:pPr>
      <w:r w:rsidRPr="004E0757">
        <w:rPr>
          <w:rFonts w:ascii="Monotype Corsiva" w:hAnsi="Monotype Corsiva"/>
          <w:b/>
          <w:color w:val="1F497D" w:themeColor="text2"/>
          <w:sz w:val="32"/>
          <w:szCs w:val="32"/>
        </w:rPr>
        <w:t>Dieu a donc usé de longanimité devant l'apostasie de l'homme, parce qu'il voyait d'avance la victoire qu'il lui donnerait un jour par l'entremise du Verbe : car, tandis que la puissance s'est déployée dans la faiblesse, le Verbe a fait apparaître la bonté de Dieu et sa magnifique puissance. Il en a été, en effet, de l'homme comme du prophète Jonas. Dieu a permis que celui-ci fût englouti par un monstre marin, non pour qu'il disparût et pérît totalement, mais pour qu'après avoir été rejeté par le monstre il fût plus soumis à Dieu et qu'il glorifiât davantage Celui qui lui donnait un salut inespéré. C'était aussi pour qu'il provoquât un ferme repentir chez les Ninivites, en sorte que ceux-ci se convertissent au Seigneur qui les délivrait de la mort, terrifiés qu'ils seraient par le signe accompli en Jonas. Comme le dit à leur sujet l'Écriture : « Et ils se détournèrent chacun de sa voie mauvaise et de l'iniquité qui était dans leurs mains, en disant : Qui sait si Dieu ne se repentira pas et ne détournera pas de nous sa colère, en sorte que nous ne périssions pas ? » De la même manière, dès le commencement, Dieu a permis que l'homme fût englouti par le grand monstre, auteur de la transgression, non pour qu'il disparût et pérît totalement, mais parce que Dieu préparait à l'avance l'acquisition du salut qu'a effectuée le Verbe, par le moyen du « signe de Jonas », au bénéfice de ceux qui auront eu sur Dieu le même sentiment que Jonas, qui l'auront confessé et qui auront dit : «Je suis le serviteur du Seigneur, et j'honore le Seigneur, le Dieu du ciel, qui a fait la mer et la terre ferme. » Dieu a voulu que l'homme, recevant de lui un salut inespéré, ressuscite d'entre les morts, qu'il glorifie Dieu et qu'il dise la parole prophétique de Jonas : «J'ai crié vers le Seigneur mon Dieu dans ma détresse, et il m'a exaucé du ventre de l'enfer. » Dieu a voulu que l'homme demeure toujours fidèle à le glorifier et à lui rendre grâces sans cesse pour ce salut reçu de lui, « en sorte qu'aucune chair ne se glorifie devant le Seigneur», que l'homme n'admette jamais plus sur Dieu des pensées contraires à celui-ci, en prenant pour une propriété naturelle l'incorruptibilité dont il jouissait, et qu'il ne délaisse plus jamais la vérité pour la jactance d'un vain orgueil, comme s'il était naturellement semblable à Dieu. Car cet orgueil même, en le rendant bien plutôt ingrat envers son Créateur, lui avait masqué l'amour dont il était l'objet de la part de Dieu et avait aveuglé son esprit, l'empêchant d'avoir sur Dieu des pensées dignes de celui-ci, le poussant au contraire à se comparer à Dieu et à s'estimer son égal.</w:t>
      </w:r>
    </w:p>
    <w:p w:rsidR="00775906" w:rsidRPr="004E0757" w:rsidRDefault="00775906" w:rsidP="00912817">
      <w:pPr>
        <w:pStyle w:val="NormalWeb"/>
        <w:ind w:left="346" w:right="346" w:firstLine="346"/>
        <w:jc w:val="center"/>
        <w:rPr>
          <w:rFonts w:ascii="Monotype Corsiva" w:hAnsi="Monotype Corsiva"/>
          <w:b/>
          <w:color w:val="1F497D" w:themeColor="text2"/>
          <w:sz w:val="32"/>
          <w:szCs w:val="32"/>
        </w:rPr>
      </w:pPr>
      <w:r w:rsidRPr="004E0757">
        <w:rPr>
          <w:rFonts w:ascii="Monotype Corsiva" w:hAnsi="Monotype Corsiva"/>
          <w:b/>
          <w:color w:val="1F497D" w:themeColor="text2"/>
          <w:sz w:val="32"/>
          <w:szCs w:val="32"/>
        </w:rPr>
        <w:t xml:space="preserve">Telle a donc été la longanimité de Dieu. Il a permis que l'homme passe par toutes les situations et qu'il connaisse la mort, pour accéder ensuite à la résurrection d'entre les morts et apprendre par son expérience de quel mal il a été délivré : ainsi rendra-t-il toujours grâces au Seigneur, pour avoir reçu de lui le don de l'incorruptibilité, et l'aimera-t-il davantage, s'il est vrai que celui à qui on remet plus aime davantage; ainsi saura-t-il que lui-même est mortel et impuissant et comprendra-t-il que Dieu est au contraire à ce point immortel et puissant qu'il donne au mortel l'immortalité et au temporel l'éternité; ainsi connaîtra-t-il toutes les autres œuvres prodigieuses de Dieu rendues manifestes en lui, et, instruit par elles, aura-t-il sur Dieu des pensées en rapport avec la grandeur de Dieu. Car la gloire de l'homme, c'est Dieu ; d'autre part, le réceptacle de l'opération de Dieu et de toute sa sagesse et de toute sa puissance, c'est l'homme. Comme le médecin fait ses preuves chez ceux qui sont malades, ainsi Dieu se manifeste chez les hommes. C'est pourquoi Paul dit : « Dieu a enfermé toutes choses dans la désobéissance pour faire à tous </w:t>
      </w:r>
      <w:r w:rsidRPr="00220D32">
        <w:rPr>
          <w:rFonts w:ascii="Monotype Corsiva" w:hAnsi="Monotype Corsiva"/>
          <w:b/>
          <w:color w:val="1F497D" w:themeColor="text2"/>
          <w:sz w:val="36"/>
          <w:szCs w:val="32"/>
        </w:rPr>
        <w:t>Miséricorde</w:t>
      </w:r>
      <w:r w:rsidR="004E0757" w:rsidRPr="00220D32">
        <w:rPr>
          <w:rFonts w:ascii="Monotype Corsiva" w:hAnsi="Monotype Corsiva"/>
          <w:b/>
          <w:color w:val="1F497D" w:themeColor="text2"/>
          <w:sz w:val="36"/>
          <w:szCs w:val="32"/>
        </w:rPr>
        <w:t>*</w:t>
      </w:r>
      <w:r w:rsidRPr="004E0757">
        <w:rPr>
          <w:rFonts w:ascii="Monotype Corsiva" w:hAnsi="Monotype Corsiva"/>
          <w:b/>
          <w:color w:val="1F497D" w:themeColor="text2"/>
          <w:sz w:val="32"/>
          <w:szCs w:val="32"/>
        </w:rPr>
        <w:t>. » Ce n'est pas des Éons pneumatiques qu'il parle, mais de l'homme, qui, après avoir désobéi à Dieu et avoir été rejeté de l'immortalité, a ensuite obtenu miséricorde par l'entremise du Fils de Dieu, en recevant la filiation adoptive qui vient par lui. Car cet homme-là, gardant sans enflure ni jactance une pensée vraie sur les créatures et sur le Créateur — qui est le Dieu plus puissant que tout et qui donne à tout l'existence — et demeurant dans son amour, dans la soumission et dans l'action de grâces, recevra de lui une gloire plus grande, progressant jusqu'à devenir semblable à Celui qui est mort pour lui. Celui-ci en effet s'est fait « à la ressemblance de la chair du péché » pour condamner le péché et, ainsi condamné, l'expulser de la chair, et pour appeler d'autre part l'homme à lui devenir semblable, l'assignant ainsi pour imitateur à Dieu, l'élevant jusqu'au royaume du Père et lui donnant de voir Dieu et de saisir le Père, — lui, le Verbe de Dieu qui a habité dans l'homme et s'est fait Fils de l'homme pour accoutumer l'homme à saisir Dieu et accoutumer Dieu à habiter dans l'homme, selon le bon plaisir du Père.</w:t>
      </w:r>
    </w:p>
    <w:p w:rsidR="00775906" w:rsidRPr="004E0757" w:rsidRDefault="00775906" w:rsidP="004E0757">
      <w:pPr>
        <w:pStyle w:val="NormalWeb"/>
        <w:spacing w:line="360" w:lineRule="auto"/>
        <w:ind w:left="346" w:right="346" w:firstLine="346"/>
        <w:jc w:val="center"/>
        <w:rPr>
          <w:rFonts w:ascii="Monotype Corsiva" w:hAnsi="Monotype Corsiva"/>
          <w:b/>
          <w:color w:val="1F497D" w:themeColor="text2"/>
          <w:sz w:val="32"/>
          <w:szCs w:val="32"/>
        </w:rPr>
      </w:pPr>
      <w:r w:rsidRPr="004E0757">
        <w:rPr>
          <w:rFonts w:ascii="Monotype Corsiva" w:hAnsi="Monotype Corsiva"/>
          <w:b/>
          <w:color w:val="1F497D" w:themeColor="text2"/>
          <w:sz w:val="32"/>
          <w:szCs w:val="32"/>
        </w:rPr>
        <w:t xml:space="preserve">Source : </w:t>
      </w:r>
      <w:hyperlink r:id="rId4" w:anchor="VI" w:history="1">
        <w:r w:rsidRPr="004E0757">
          <w:rPr>
            <w:rStyle w:val="Lienhypertexte"/>
            <w:rFonts w:ascii="Monotype Corsiva" w:hAnsi="Monotype Corsiva"/>
            <w:b/>
            <w:color w:val="1F497D" w:themeColor="text2"/>
            <w:sz w:val="32"/>
            <w:szCs w:val="32"/>
          </w:rPr>
          <w:t>http://remacle.org/bloodwolf/eglise/irenee/heresies3.htm#VI</w:t>
        </w:r>
      </w:hyperlink>
    </w:p>
    <w:p w:rsidR="00F458B8" w:rsidRPr="004E0757" w:rsidRDefault="00F458B8" w:rsidP="004E0757">
      <w:pPr>
        <w:jc w:val="center"/>
        <w:rPr>
          <w:rFonts w:ascii="Monotype Corsiva" w:hAnsi="Monotype Corsiva"/>
          <w:b/>
          <w:color w:val="1F497D" w:themeColor="text2"/>
          <w:sz w:val="32"/>
          <w:szCs w:val="32"/>
        </w:rPr>
      </w:pPr>
    </w:p>
    <w:sectPr w:rsidR="00F458B8" w:rsidRPr="004E0757" w:rsidSect="00F458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6E6193"/>
    <w:rsid w:val="00154C2E"/>
    <w:rsid w:val="00220D32"/>
    <w:rsid w:val="004E0757"/>
    <w:rsid w:val="005B3684"/>
    <w:rsid w:val="006E6193"/>
    <w:rsid w:val="00775906"/>
    <w:rsid w:val="00892CA8"/>
    <w:rsid w:val="00912817"/>
    <w:rsid w:val="00991A76"/>
    <w:rsid w:val="00A848B3"/>
    <w:rsid w:val="00CF5A2E"/>
    <w:rsid w:val="00D411D1"/>
    <w:rsid w:val="00DD23CD"/>
    <w:rsid w:val="00F458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61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759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macle.org/bloodwolf/eglise/irenee/heresies3.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829</Words>
  <Characters>4562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9</cp:revision>
  <dcterms:created xsi:type="dcterms:W3CDTF">2012-06-27T20:53:00Z</dcterms:created>
  <dcterms:modified xsi:type="dcterms:W3CDTF">2012-06-27T21:34:00Z</dcterms:modified>
</cp:coreProperties>
</file>